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Wer gelesen oder gehört oder gesehen werden will, muss zum einen etwas Neues mitteilen, und das zum anderen auf eine interessante Weise tun. Beides fällt zwar oft in eins, denn vieles, was neu ist, ist schon allein deshalb interessant; und wenn etwas umgekehrt nur interessant genug vermittelt wird, spielt es keine große Rolle, ob es mir neu ist oder schon bekannt. </w:t>
      </w:r>
    </w:p>
    <w:p w14:paraId="00000002"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Fast alle Brettspielekritiken, die ich (über verschiedene Medien hinweg) wahrnehme, meistern diese Hürde bereits sehr erfolgreich: Sie informieren mich über etwas, das mir meistens neu ist, und tun das auch oft auf interessante Weise. Was sie seltener tun, ist: dabei inhaltlich und/oder formal ganz neue Wege beschreiten.</w:t>
      </w:r>
    </w:p>
    <w:p w14:paraId="00000003"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Hier wird vielleicht ein Defizit sichtbar (das ohnehin das unterliegende Thema dieser schönen Tagung ist), nämlich: Dass die patentierte Fertigbau-Spielekritik (die nach der Formel Einleitung-Thema-Regeln-Bewertung recht zuverlässig zubereitet werden kann) ihre unwiderlegbare Stärke darin hat, mich als Leser umfassend zu informieren und auch gleich eine Empfehlung oder Nicht-Empfehlung zum Gegenstand auszusprechen. Das ist natürlich gut so und auch sehr willkommen. </w:t>
      </w:r>
    </w:p>
    <w:p w14:paraId="00000004"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Was die patentierte Fertigbau-Spielekritik aber relativ zuverlässig zu liefern vergisst, ist alles, was über dieses Informieren und Bewerten hinausgehen würde.</w:t>
      </w:r>
    </w:p>
    <w:p w14:paraId="00000005"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Was soll denn da noch groß </w:t>
      </w:r>
      <w:proofErr w:type="gramStart"/>
      <w:r>
        <w:rPr>
          <w:rFonts w:ascii="Times New Roman" w:eastAsia="Times New Roman" w:hAnsi="Times New Roman" w:cs="Times New Roman"/>
        </w:rPr>
        <w:t>sein?,</w:t>
      </w:r>
      <w:proofErr w:type="gramEnd"/>
      <w:r>
        <w:rPr>
          <w:rFonts w:ascii="Times New Roman" w:eastAsia="Times New Roman" w:hAnsi="Times New Roman" w:cs="Times New Roman"/>
        </w:rPr>
        <w:t xml:space="preserve"> wird sich jetzt die oder andere Sockenpuppen fragen, die ich natürlich extra in diesen Input geschmuggelt habe, damit sie so schöne Suggestivfragen stellen kann.</w:t>
      </w:r>
    </w:p>
    <w:p w14:paraId="00000006"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Nun, liebe Sockenpuppe, neben Informieren und Bewerten gibt es noch eine weitere Möglichkeit, mit kulturellen Artefakten wie Brettspielen gedanklich umzugehen. </w:t>
      </w:r>
    </w:p>
    <w:p w14:paraId="00000007"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Ich rede hier von etwas, das wir alle im Deutschunterricht kennenlernen durften und mehrheitlich vermutlich eher anstrengend oder eher unverständlich fanden, nämlich von der Kunst der Interpretation, oder noch akademischer, der Methodik der Hermeneutik. Vom Lateinischen bzw. Altgriechischen ins Deutsche wäre das: die Technik des Erklärens, Übersetzens, Philosophierens über etwas oder des Ausdeutens und Auslegens einer kulturellen Erscheinung oder eines kulturellen Gegenstands wie eben eines Brettspiels.</w:t>
      </w:r>
    </w:p>
    <w:p w14:paraId="00000008"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Brettspiele auslegen? Als Küchenfliesen oder </w:t>
      </w:r>
      <w:proofErr w:type="gramStart"/>
      <w:r>
        <w:rPr>
          <w:rFonts w:ascii="Times New Roman" w:eastAsia="Times New Roman" w:hAnsi="Times New Roman" w:cs="Times New Roman"/>
        </w:rPr>
        <w:t>was?,</w:t>
      </w:r>
      <w:proofErr w:type="gramEnd"/>
      <w:r>
        <w:rPr>
          <w:rFonts w:ascii="Times New Roman" w:eastAsia="Times New Roman" w:hAnsi="Times New Roman" w:cs="Times New Roman"/>
        </w:rPr>
        <w:t xml:space="preserve"> wird sich jetzt die eine oder andere Sockenpuppe fragen und sich dabei vermutlich sehr witzig vorkommen.</w:t>
      </w:r>
    </w:p>
    <w:p w14:paraId="00000009"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Nein, gemeint ist hier natürlich die Interpretation als eine philologisch und philosophisch ziemlich etablierte Praxis, die zudem ein bewährtes Instrument im kulturjournalistischen Werkzeugkasten darstellt, obwohl sie zunehmend seltener herausgeholt und zur Anwendung gebracht wird. Dabei drängt sie sich in vielen Fällen ganz von alleine auf. Oder, mit StP. (und dem Handbuch Litw) zu sprechen: “Kulturjournalisten sind (…) immer zugleich auf Deutung aus, insofern sie wissen, dass man im Falle mehrdeutiger, ‘polyvalenter’ Gegenstände nicht bloß einfach ‘informieren’ kann, sondern sich immer schon im Modus der Interpretation befindet.” (Argument dahinter: Gegenstand ist, da kulturelles Erzeugnis, immer schon auf Offenheit und potentielle Ausdeutbarkeit angelegt, d.h. man kann in kein vollkommen objektives Verhältnis zu ihm treten, was noch klarer wird, wenn man über Bücher, Filme, Kunst oder Theater schreiben)</w:t>
      </w:r>
    </w:p>
    <w:p w14:paraId="0000000A"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Was P. sagt, klingt schlüssig, erweist sich aber als knifflig, wenn man versucht, es selbst mal auszuprobieren. Denn: Was ist denn überhaupt eine Interpretation? Wie geht das denn? Das Interpretieren ist ein Denkstil, an dessen genauem Verständnis und dessen genauer Definition die Geisteswissenschaften schon seit der Antike scheitern, aber zumindest in immer kürzeren werdenden Abständen. Der heutige Diskursstand ist, sehr knapp gefasst: Niemand kann genau sagen, was eine Interpretation überhaupt sein soll, die Disziplinen verlassen sich auf das, was dort jeweils als Interpretation akzeptiert ist, aber jeder erkennt eine gute Interpretation sofort, wenn er eine sieht. </w:t>
      </w:r>
    </w:p>
    <w:p w14:paraId="0000000B"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Ich zumindest finde: Als Arbeitsgrundlage ist das zum Glück völlig ausreichend, wenn nicht hervorragend, zumal schon viele Bibliotheken auf genau dieser Basis bis auf den letzten Regalmeter gefüllt worden sind.</w:t>
      </w:r>
    </w:p>
    <w:p w14:paraId="0000000C"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lastRenderedPageBreak/>
        <w:t xml:space="preserve">Wer jetzt Brettspiele interpretieren oder, mit Porombka im Nacken, wie ein richtiger Kulturjournalist betrachten will, der muss also lernen, diese Werkzeuge anzuwenden, diesen Denkstil des Auslegens einzuüben. Zum Glück gibt hier einige Cheatcodes, und ich wäre ein schlechter Frohlege, wenn ich sie euch nicht hier, jetzt und heute verraten würde. Ich habe diese Cheatcodes in Form von Fragen formuliert; Fragen, die man sich als Autor:in stellen kann, wenn man versuchen will, seinem Spiel mittels Hermeneutik eine weitere, tiefere und hoffentlich noch nie von jemand </w:t>
      </w:r>
      <w:proofErr w:type="gramStart"/>
      <w:r>
        <w:rPr>
          <w:rFonts w:ascii="Times New Roman" w:eastAsia="Times New Roman" w:hAnsi="Times New Roman" w:cs="Times New Roman"/>
        </w:rPr>
        <w:t>anderem gefundene Schicht</w:t>
      </w:r>
      <w:proofErr w:type="gramEnd"/>
      <w:r>
        <w:rPr>
          <w:rFonts w:ascii="Times New Roman" w:eastAsia="Times New Roman" w:hAnsi="Times New Roman" w:cs="Times New Roman"/>
        </w:rPr>
        <w:t xml:space="preserve"> abzugewinnen.</w:t>
      </w:r>
    </w:p>
    <w:p w14:paraId="0000000D"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(Keine Sorge übrigens: Die berüchtigte Frage ‘Was will die Autor:in uns damit </w:t>
      </w:r>
      <w:proofErr w:type="gramStart"/>
      <w:r>
        <w:rPr>
          <w:rFonts w:ascii="Times New Roman" w:eastAsia="Times New Roman" w:hAnsi="Times New Roman" w:cs="Times New Roman"/>
        </w:rPr>
        <w:t>sagen?’</w:t>
      </w:r>
      <w:proofErr w:type="gramEnd"/>
      <w:r>
        <w:rPr>
          <w:rFonts w:ascii="Times New Roman" w:eastAsia="Times New Roman" w:hAnsi="Times New Roman" w:cs="Times New Roman"/>
        </w:rPr>
        <w:t xml:space="preserve"> zählt natürlich nicht zu meinen Cheatcodes. Diese Frage wird nämlich in der geisteswissenschaftlichen Theorie schon seit den 1950er Jahren als eine sogenannte </w:t>
      </w:r>
      <w:r>
        <w:rPr>
          <w:rFonts w:ascii="Times New Roman" w:eastAsia="Times New Roman" w:hAnsi="Times New Roman" w:cs="Times New Roman"/>
          <w:i/>
        </w:rPr>
        <w:t>intentional fallacy</w:t>
      </w:r>
      <w:r>
        <w:rPr>
          <w:rFonts w:ascii="Times New Roman" w:eastAsia="Times New Roman" w:hAnsi="Times New Roman" w:cs="Times New Roman"/>
        </w:rPr>
        <w:t>, also als ein intentionalistischer Fehlschluss, behandelt, was sich aber noch nicht bei allen Deutschlehrern herumgesprochen hat, soweit ich weiß.)</w:t>
      </w:r>
    </w:p>
    <w:p w14:paraId="0000000E"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Jetzt aber zu meinem Cheatsheet. </w:t>
      </w:r>
    </w:p>
    <w:p w14:paraId="0000000F"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Die Fragen darauf lauten:</w:t>
      </w:r>
    </w:p>
    <w:p w14:paraId="00000010"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Was sehe ich an X, was noch niemand an X gesehen hat?</w:t>
      </w:r>
    </w:p>
    <w:p w14:paraId="00000011"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Wie betrachte ich X in einer Weise, in der noch niemand X betrachtet hat?</w:t>
      </w:r>
    </w:p>
    <w:p w14:paraId="00000012"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Wie kann ich X zu etwas in (Ähnlichkeits-)Beziehung setzen, das außerhalb von X liegt?</w:t>
      </w:r>
    </w:p>
    <w:p w14:paraId="00000013"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Welche allgemeingültige Aussage oder welches allgemeingültige Prinzip verbergen sich in X?</w:t>
      </w:r>
    </w:p>
    <w:p w14:paraId="00000014"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Was hätte ein Philosoph, Anthropologe, Soziologe, Historiker, Evolutionsbiologe, Psychologe, Theaterwissenschaftler, Ökonom, Psychoanalytiker (m/w/d) usw. zu X zu sagen?</w:t>
      </w:r>
    </w:p>
    <w:p w14:paraId="00000015"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Was lässt sich an X ablesen, das für alle Brettspiele gilt?</w:t>
      </w:r>
    </w:p>
    <w:p w14:paraId="00000016"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Was lässt sich an X ablesen, das für die Tätigkeit des Spielens allgemein gilt?</w:t>
      </w:r>
    </w:p>
    <w:p w14:paraId="00000017"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Was lässt sich an X (am Erfolg/Scheitern von X) ablesen, das für den Brettspielbetrieb gilt?</w:t>
      </w:r>
    </w:p>
    <w:p w14:paraId="00000018"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Was lässt sich an X ablesen, das für alle Menschen gilt? </w:t>
      </w:r>
    </w:p>
    <w:p w14:paraId="00000019"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 </w:t>
      </w:r>
      <w:proofErr w:type="gramStart"/>
      <w:r>
        <w:rPr>
          <w:rFonts w:ascii="Times New Roman" w:eastAsia="Times New Roman" w:hAnsi="Times New Roman" w:cs="Times New Roman"/>
        </w:rPr>
        <w:t>das</w:t>
      </w:r>
      <w:proofErr w:type="gramEnd"/>
      <w:r>
        <w:rPr>
          <w:rFonts w:ascii="Times New Roman" w:eastAsia="Times New Roman" w:hAnsi="Times New Roman" w:cs="Times New Roman"/>
        </w:rPr>
        <w:t xml:space="preserve"> für (moderne) Gesellschaften gilt? </w:t>
      </w:r>
    </w:p>
    <w:p w14:paraId="0000001A"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 das für die Gegenwart gilt [sehr beliebte Frage]? </w:t>
      </w:r>
    </w:p>
    <w:p w14:paraId="0000001B"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Welche sozialen Normen lassen sich an X ablesen?</w:t>
      </w:r>
    </w:p>
    <w:p w14:paraId="0000001C"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Welche gesellschaftlichen Machtverhältnisse sind in X wiederzufinden?</w:t>
      </w:r>
    </w:p>
    <w:p w14:paraId="0000001D"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Wie kann ich X auf einen Aspekt reduzieren, der das Typische an X besonders hervortreten lässt?</w:t>
      </w:r>
    </w:p>
    <w:p w14:paraId="0000001E"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Wovon handelt Spiel X “eigentlich”?</w:t>
      </w:r>
    </w:p>
    <w:p w14:paraId="0000001F"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Wenn Spiel X ein Spiel “über” etwas wäre (Freundschaft, Liebe usw.), wäre es ein Spiel worüber?</w:t>
      </w:r>
    </w:p>
    <w:p w14:paraId="00000020"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Von diesen Fragen sind manche zweifellos besser als andere, und nicht jede davon lässt sich blind auf jedes Spiel anwenden. Und natürlich ließe sich diese Cheatcode-Liste noch erweitern, dazu ist jetzt aber leider nicht die Zeit. </w:t>
      </w:r>
    </w:p>
    <w:p w14:paraId="00000021"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Denn: Ich möchte jetzt, in der zweiten Hälfte meines Inputs, noch ein paar Beispiele aus der eigenen Werkstatt nachliefern. Eine Art Mini-Show and Tell veranstalten. Und so versuchen, zu veranschaulichen, was herauskommt (herauskommen könnte), wenn man einige der genannten Cheat-Fragen auf bekanntere Brettspiele anwendet. Dabei hat man natürlich immer das Ziel im Hinterkopf, seine Rezension oder Besprechung mit dieser Art des kulturjournalistischen Interpretierens mindestens auf der inhaltlichen Ebene (und vielleicht sogar formal) zu erweitern und anzureichern. </w:t>
      </w:r>
    </w:p>
    <w:p w14:paraId="00000022"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Einfacher gesagt: Es geht darum, einen noch besseren Text zu schreiben, der den Lesern noch mehr mitteilt und noch länger im Gedächtnis bleibt.</w:t>
      </w:r>
    </w:p>
    <w:p w14:paraId="00000023"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Also, wie könnte so was ausschauen?</w:t>
      </w:r>
    </w:p>
    <w:p w14:paraId="00000024"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Beginnen wir mit: </w:t>
      </w:r>
    </w:p>
    <w:p w14:paraId="00000025" w14:textId="77777777" w:rsidR="00EF7E77" w:rsidRDefault="00EF7E77">
      <w:pPr>
        <w:rPr>
          <w:rFonts w:ascii="Times New Roman" w:eastAsia="Times New Roman" w:hAnsi="Times New Roman" w:cs="Times New Roman"/>
        </w:rPr>
      </w:pPr>
    </w:p>
    <w:p w14:paraId="00000026"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“Azul in einem Wort? Delikat! Das liegt vor allem daran, dass Michael Kiesling wieder einmal verstanden hat, dass der appetitlich gedeckte Essenstisch und das schmackhaft angerichtete Spielbrett im Prinzip ein und dasselbe sind. Dabei schreibt Azul die Gastrosophie des Gesellschaftsspiels </w:t>
      </w:r>
      <w:r>
        <w:rPr>
          <w:rFonts w:ascii="Times New Roman" w:eastAsia="Times New Roman" w:hAnsi="Times New Roman" w:cs="Times New Roman"/>
        </w:rPr>
        <w:lastRenderedPageBreak/>
        <w:t xml:space="preserve">keineswegs neu – was auch schlecht geht, schließlich ist sie noch überhaupt nicht geschrieben worden. Dabei liegen die Beweise für die Geburt des Brettspiels aus dem Geiste der Kulinarik für jeden offen zutage, der Augen hat, damit zu schmausen. Wo findet beides statt? Richtig: zu Tisch. Was sollte jeweils befolgt werden? Richtig, bestimmte Regeln. Was nutzten Spiele historisch sehr oft als Spielsteine, beispielsweise bei Mancala? Richtig, Lebensmittel. Bohnen, Mais und Reis sind unbestreitbar die Urahnen unserer modernen Meeple und Pöppel, Token und Cubes. Der schlagendste Beweis dafür: Wer hätte noch nie versehentlich in die Zählmarken gegriffen statt in die M&amp;Ms (weil sie so ähnlich aussehen)? Ich habe mehr als einmal versucht, mein Spiel zu essen! Das heutige Brettspiel ist, was Haptik und Ästhetik betrifft, zweifellos die Fortsetzung der Tafelkunst mit anderen Mitteln. Und es ist kein Zufall, dass der Mensch nicht nur das einzige Tier ist, das regelgeleitete Spiele kennt, sondern auch das einzige uns bekannte Lebewesen, das kochen kann. Kein Zweifel: Der Satz ‘Mit dem Essen spielt man nicht’ muss umgeschrieben werden zu ‘Ohne Essen kann man nicht </w:t>
      </w:r>
      <w:proofErr w:type="gramStart"/>
      <w:r>
        <w:rPr>
          <w:rFonts w:ascii="Times New Roman" w:eastAsia="Times New Roman" w:hAnsi="Times New Roman" w:cs="Times New Roman"/>
        </w:rPr>
        <w:t>spielen.’</w:t>
      </w:r>
      <w:proofErr w:type="gramEnd"/>
      <w:r>
        <w:rPr>
          <w:rFonts w:ascii="Times New Roman" w:eastAsia="Times New Roman" w:hAnsi="Times New Roman" w:cs="Times New Roman"/>
        </w:rPr>
        <w:t xml:space="preserve"> Kieslings köstliches Azul lässt sich mühelos auf dem Büffet der dazugehörigen Beweise auslegen, und es ist natürlich überhaupt kein Zufall, dass letztes Jahr mit ‘Meister Chocolatier’ eine Neuverschachtelung des Erfolgstitels erschienen ist, die das Gastronomische, das im Brettspiel immer schon angelegt ist, konsequent zu Ende denkt.” usw.</w:t>
      </w:r>
    </w:p>
    <w:p w14:paraId="00000027"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(Welche Fragen </w:t>
      </w:r>
      <w:proofErr w:type="gramStart"/>
      <w:r>
        <w:rPr>
          <w:rFonts w:ascii="Times New Roman" w:eastAsia="Times New Roman" w:hAnsi="Times New Roman" w:cs="Times New Roman"/>
        </w:rPr>
        <w:t>werden</w:t>
      </w:r>
      <w:proofErr w:type="gramEnd"/>
      <w:r>
        <w:rPr>
          <w:rFonts w:ascii="Times New Roman" w:eastAsia="Times New Roman" w:hAnsi="Times New Roman" w:cs="Times New Roman"/>
        </w:rPr>
        <w:t xml:space="preserve"> hier genutzt: Wie betrachte ich X in einer Weise, in der noch niemand X betrachtet hat? Was lässt sich an X ablesen, das für alle Brettspiele gilt? Wie kann ich X zu etwas in (Ähnlichkeits-)Beziehung setzen, das außerhalb von X liegt?)</w:t>
      </w:r>
    </w:p>
    <w:p w14:paraId="00000028" w14:textId="77777777" w:rsidR="00EF7E77" w:rsidRDefault="00EF7E77">
      <w:pPr>
        <w:rPr>
          <w:rFonts w:ascii="Times New Roman" w:eastAsia="Times New Roman" w:hAnsi="Times New Roman" w:cs="Times New Roman"/>
        </w:rPr>
      </w:pPr>
    </w:p>
    <w:p w14:paraId="00000029"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“My City ist Reiner Knizias Weigerung, mal nicht mitzumachen. Mit El Dorado hat er das Prinzip des Deck Building vergoldet, mit L.L.A.M.A. das bessere Uno erfunden, mit My City ist nun das Legacy-Spiel dran. Und das … ist schlecht. Denn: Das Legacy-Prinzip ist der spielgewordene Erpresserbrief. Wie zum Beweis starrt einen aus der My-City-Schachtel gleich ein Schock spitziger Briefumschläge an. Weh dem Lump, der uns nicht </w:t>
      </w:r>
      <w:proofErr w:type="gramStart"/>
      <w:r>
        <w:rPr>
          <w:rFonts w:ascii="Times New Roman" w:eastAsia="Times New Roman" w:hAnsi="Times New Roman" w:cs="Times New Roman"/>
        </w:rPr>
        <w:t>erbricht!,</w:t>
      </w:r>
      <w:proofErr w:type="gramEnd"/>
      <w:r>
        <w:rPr>
          <w:rFonts w:ascii="Times New Roman" w:eastAsia="Times New Roman" w:hAnsi="Times New Roman" w:cs="Times New Roman"/>
        </w:rPr>
        <w:t xml:space="preserve"> wispern die Wundertütchen und rascheln bedrohlich. Und so müssen die Szenarien heruntergerissen werden, ob die Polygone passen wollen oder nicht. (Spoiler: Sie wollen nicht.) Wäre Freud noch unter uns, er würde einen solchen Spieleabend als Fallstudie über Zwangsneurose verhandeln. </w:t>
      </w:r>
    </w:p>
    <w:p w14:paraId="0000002A"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Und wer noch näher hindenkt, der sieht: Legacy-Spiele – und nicht nur My City – beuten gleich mehrere psychische Mechanismen aus, um uns am Spielen zu halten. Dazu gehören: Verstärkung durch Belohnung, das (Aus-)Nutzen der Angst, etwas zu verpassen, sowie die Same-Same-But-Different-Methode, die dafür sorgt, dass wir uns in der Sicherheit des Vertrauten bewegen können, während wir zugleich wohldosiert Neues geboten bekommen. Auch der sogenannte Ovsiankina-Effekt spielt eine Rolle, der unsere Tendenz bezeichnet, eine unterbrochene Handlung wieder aufzunehmen, wenn das Handlungsziel (nämlich: alle Szenarien durchzuspielen) noch nicht erreicht wurde. Legacy-Spiele erweisen sich damit als kleine Wunderwerke der Wirtschaftspsychologie, die unablässig auf unserem Belohnungszentrum herumdrücken. Eine ambivalente Anamnese.” etc.</w:t>
      </w:r>
    </w:p>
    <w:p w14:paraId="0000002B" w14:textId="77777777" w:rsidR="00EF7E77" w:rsidRDefault="00EF7E77">
      <w:pPr>
        <w:rPr>
          <w:rFonts w:ascii="Times New Roman" w:eastAsia="Times New Roman" w:hAnsi="Times New Roman" w:cs="Times New Roman"/>
        </w:rPr>
      </w:pPr>
    </w:p>
    <w:p w14:paraId="0000002C"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(Wie weiter? Hochbrechen auf gesamte Kultur der Treueherzen, Bonuspunkte und Follow-ups? In der man etwas nie wieder loswird, wenn man sich einmal auf eine Beziehung damit eingelassen hat? In der alles ruft: Beachte mich weiter?)</w:t>
      </w:r>
    </w:p>
    <w:p w14:paraId="0000002D"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(Welche Fragen </w:t>
      </w:r>
      <w:proofErr w:type="gramStart"/>
      <w:r>
        <w:rPr>
          <w:rFonts w:ascii="Times New Roman" w:eastAsia="Times New Roman" w:hAnsi="Times New Roman" w:cs="Times New Roman"/>
        </w:rPr>
        <w:t>werden</w:t>
      </w:r>
      <w:proofErr w:type="gramEnd"/>
      <w:r>
        <w:rPr>
          <w:rFonts w:ascii="Times New Roman" w:eastAsia="Times New Roman" w:hAnsi="Times New Roman" w:cs="Times New Roman"/>
        </w:rPr>
        <w:t xml:space="preserve"> hier genutzt: Was lässt sich an X ablesen, das für alle Brettspiele (hier: einer bestimmten Art) gilt? / Was hätte ein Psychologe zu X zu sagen bzw. was lässt sich an diesen Spielen über bestimmte kognitive Mechanismen ablesen? / Was lässt sich an X ablesen, das für die Gegenwart gilt?)</w:t>
      </w:r>
    </w:p>
    <w:p w14:paraId="0000002E" w14:textId="77777777" w:rsidR="00EF7E77" w:rsidRDefault="00EF7E77">
      <w:pPr>
        <w:rPr>
          <w:rFonts w:ascii="Times New Roman" w:eastAsia="Times New Roman" w:hAnsi="Times New Roman" w:cs="Times New Roman"/>
        </w:rPr>
      </w:pPr>
    </w:p>
    <w:p w14:paraId="0000002F"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“Dass Dorfromantik Spiel des Jahres wird, kann niemanden erstaunen, der mal ein Proseminar in Soziologie abgesessen hat. Denn: Gesellschaften, so kann man dort lernen, reagieren auf Krisen </w:t>
      </w:r>
      <w:r>
        <w:rPr>
          <w:rFonts w:ascii="Times New Roman" w:eastAsia="Times New Roman" w:hAnsi="Times New Roman" w:cs="Times New Roman"/>
        </w:rPr>
        <w:lastRenderedPageBreak/>
        <w:t>empfindlicher als eine Katze auf eine sich anschleichende Salatgurke. Und die zeitgenössische Soziologie spricht längst von einer Polykrise, in der wir uns befinden, in der wirtschaftliche Turbulenzen, tödliche Pandemien, neue Kriege vor der eigenen Haustür und eine drohende Ökokatastrophe sich verdichten und zusammenfallen. Die Menschen reagieren, wie sie immer auf Krisen reagieren: Indem sie sich vorwärts oder rückwärts bewegen, kämpfen oder fliehen. Dorfromantik ist, auch wenn das dem Spiel keineswegs anzulasten ist, natürlich ein Symptom der Rückwärtsbewegung. Sein Erfolg kommt nicht von ungefähr. Gesellschaften unter Druck kaufen, prämieren und verwenden natürlich genau diejenigen Produkte am häufigsten, die am adäquatesten auf die Probleme ihrer Gegenwart antworten. Und Dorfromantik antwortet. Das sagt das Thema, das sagt der Titel, sagt das Artwork, das sagt sogar die Mechanik.”</w:t>
      </w:r>
    </w:p>
    <w:p w14:paraId="00000030"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(Welche Fragen </w:t>
      </w:r>
      <w:proofErr w:type="gramStart"/>
      <w:r>
        <w:rPr>
          <w:rFonts w:ascii="Times New Roman" w:eastAsia="Times New Roman" w:hAnsi="Times New Roman" w:cs="Times New Roman"/>
        </w:rPr>
        <w:t>werden</w:t>
      </w:r>
      <w:proofErr w:type="gramEnd"/>
      <w:r>
        <w:rPr>
          <w:rFonts w:ascii="Times New Roman" w:eastAsia="Times New Roman" w:hAnsi="Times New Roman" w:cs="Times New Roman"/>
        </w:rPr>
        <w:t xml:space="preserve"> hier genutzt: Was hätte ein Soziologe/Sozialpsychologe zu X zu sagen? Was lässt sich an X ablesen, das für Menschen/Gesellschaften/die Gegenwart gilt?)</w:t>
      </w:r>
    </w:p>
    <w:p w14:paraId="00000031" w14:textId="77777777" w:rsidR="00EF7E77" w:rsidRDefault="00EF7E77">
      <w:pPr>
        <w:rPr>
          <w:rFonts w:ascii="Times New Roman" w:eastAsia="Times New Roman" w:hAnsi="Times New Roman" w:cs="Times New Roman"/>
        </w:rPr>
      </w:pPr>
    </w:p>
    <w:p w14:paraId="00000032"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Zum Schluss wollte ich eine Frage in den Raum geben, die ich nicht beantworten kann, weil ich die Antwort selbst noch nicht kenne: </w:t>
      </w:r>
    </w:p>
    <w:p w14:paraId="00000033" w14:textId="77777777"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Braucht man das überhaupt, dieses Interpretieren, mit seinem Namedropping, seinen Fremdwörtern und seinen weit hergeholten, letztendlich unbeweisbaren Thesen und Analogien? Muss jede Rezi eine kleine Doktorarbeit beinhalten? Ist der Service- und Verbraucher-Journalismus, den wir so erfolgreich pflegen, für seine Zwecke nicht völlig ausreichend? Zumal er genau das zu sein scheint, was die meisten </w:t>
      </w:r>
      <w:proofErr w:type="gramStart"/>
      <w:r>
        <w:rPr>
          <w:rFonts w:ascii="Times New Roman" w:eastAsia="Times New Roman" w:hAnsi="Times New Roman" w:cs="Times New Roman"/>
        </w:rPr>
        <w:t>Nutzer:innen</w:t>
      </w:r>
      <w:proofErr w:type="gramEnd"/>
      <w:r>
        <w:rPr>
          <w:rFonts w:ascii="Times New Roman" w:eastAsia="Times New Roman" w:hAnsi="Times New Roman" w:cs="Times New Roman"/>
        </w:rPr>
        <w:t xml:space="preserve"> lesen, hören und sehen wollen? </w:t>
      </w:r>
    </w:p>
    <w:p w14:paraId="0000006E" w14:textId="7478B3ED" w:rsidR="00EF7E77" w:rsidRDefault="00000000">
      <w:pPr>
        <w:rPr>
          <w:rFonts w:ascii="Times New Roman" w:eastAsia="Times New Roman" w:hAnsi="Times New Roman" w:cs="Times New Roman"/>
        </w:rPr>
      </w:pPr>
      <w:r>
        <w:rPr>
          <w:rFonts w:ascii="Times New Roman" w:eastAsia="Times New Roman" w:hAnsi="Times New Roman" w:cs="Times New Roman"/>
        </w:rPr>
        <w:t xml:space="preserve">Oder, in einem letzten Satz: Ist die patentierte Fertigbau-Spielekritik nicht vielleicht schon genau das, was benötigt wird, und sollten wir nicht überlegen, wie man sie in sich noch präziser, knackiger, dichter machen kann, statt darüber nachzudenken, wie man ihre Grenzen weiter in Richtung Interpretation und Analyse verschiebt? </w:t>
      </w:r>
    </w:p>
    <w:sectPr w:rsidR="00EF7E77">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oNotDisplayPageBoundaries/>
  <w:proofState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E77"/>
    <w:rsid w:val="004973B2"/>
    <w:rsid w:val="00EF7E7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74A3F7"/>
  <w15:docId w15:val="{534E2D19-12CF-4894-91F1-8EC62A3E58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de" w:eastAsia="de-D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uiPriority w:val="9"/>
    <w:qFormat/>
    <w:pPr>
      <w:keepNext/>
      <w:keepLines/>
      <w:spacing w:before="400" w:after="120"/>
      <w:outlineLvl w:val="0"/>
    </w:pPr>
    <w:rPr>
      <w:sz w:val="40"/>
      <w:szCs w:val="40"/>
    </w:rPr>
  </w:style>
  <w:style w:type="paragraph" w:styleId="berschrift2">
    <w:name w:val="heading 2"/>
    <w:basedOn w:val="Standard"/>
    <w:next w:val="Standard"/>
    <w:uiPriority w:val="9"/>
    <w:semiHidden/>
    <w:unhideWhenUsed/>
    <w:qFormat/>
    <w:pPr>
      <w:keepNext/>
      <w:keepLines/>
      <w:spacing w:before="360" w:after="120"/>
      <w:outlineLvl w:val="1"/>
    </w:pPr>
    <w:rPr>
      <w:sz w:val="32"/>
      <w:szCs w:val="32"/>
    </w:rPr>
  </w:style>
  <w:style w:type="paragraph" w:styleId="berschrift3">
    <w:name w:val="heading 3"/>
    <w:basedOn w:val="Standard"/>
    <w:next w:val="Standard"/>
    <w:uiPriority w:val="9"/>
    <w:semiHidden/>
    <w:unhideWhenUsed/>
    <w:qFormat/>
    <w:pPr>
      <w:keepNext/>
      <w:keepLines/>
      <w:spacing w:before="320" w:after="80"/>
      <w:outlineLvl w:val="2"/>
    </w:pPr>
    <w:rPr>
      <w:color w:val="434343"/>
      <w:sz w:val="28"/>
      <w:szCs w:val="28"/>
    </w:rPr>
  </w:style>
  <w:style w:type="paragraph" w:styleId="berschrift4">
    <w:name w:val="heading 4"/>
    <w:basedOn w:val="Standard"/>
    <w:next w:val="Standard"/>
    <w:uiPriority w:val="9"/>
    <w:semiHidden/>
    <w:unhideWhenUsed/>
    <w:qFormat/>
    <w:pPr>
      <w:keepNext/>
      <w:keepLines/>
      <w:spacing w:before="280" w:after="80"/>
      <w:outlineLvl w:val="3"/>
    </w:pPr>
    <w:rPr>
      <w:color w:val="666666"/>
      <w:sz w:val="24"/>
      <w:szCs w:val="24"/>
    </w:rPr>
  </w:style>
  <w:style w:type="paragraph" w:styleId="berschrift5">
    <w:name w:val="heading 5"/>
    <w:basedOn w:val="Standard"/>
    <w:next w:val="Standard"/>
    <w:uiPriority w:val="9"/>
    <w:semiHidden/>
    <w:unhideWhenUsed/>
    <w:qFormat/>
    <w:pPr>
      <w:keepNext/>
      <w:keepLines/>
      <w:spacing w:before="240" w:after="80"/>
      <w:outlineLvl w:val="4"/>
    </w:pPr>
    <w:rPr>
      <w:color w:val="666666"/>
    </w:rPr>
  </w:style>
  <w:style w:type="paragraph" w:styleId="berschrift6">
    <w:name w:val="heading 6"/>
    <w:basedOn w:val="Standard"/>
    <w:next w:val="Standard"/>
    <w:uiPriority w:val="9"/>
    <w:semiHidden/>
    <w:unhideWhenUsed/>
    <w:qFormat/>
    <w:pPr>
      <w:keepNext/>
      <w:keepLines/>
      <w:spacing w:before="240" w:after="80"/>
      <w:outlineLvl w:val="5"/>
    </w:pPr>
    <w:rPr>
      <w:i/>
      <w:color w:val="66666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rd"/>
    <w:next w:val="Standard"/>
    <w:uiPriority w:val="10"/>
    <w:qFormat/>
    <w:pPr>
      <w:keepNext/>
      <w:keepLines/>
      <w:spacing w:after="60"/>
    </w:pPr>
    <w:rPr>
      <w:sz w:val="52"/>
      <w:szCs w:val="52"/>
    </w:rPr>
  </w:style>
  <w:style w:type="paragraph" w:styleId="Untertitel">
    <w:name w:val="Subtitle"/>
    <w:basedOn w:val="Standard"/>
    <w:next w:val="Standard"/>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1888</Words>
  <Characters>11896</Characters>
  <Application>Microsoft Office Word</Application>
  <DocSecurity>0</DocSecurity>
  <Lines>99</Lines>
  <Paragraphs>27</Paragraphs>
  <ScaleCrop>false</ScaleCrop>
  <Company/>
  <LinksUpToDate>false</LinksUpToDate>
  <CharactersWithSpaces>13757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Lino Wirag</cp:lastModifiedBy>
  <cp:revision>2</cp:revision>
  <dcterms:created xsi:type="dcterms:W3CDTF">2024-03-11T14:52:00Z</dcterms:created>
  <dcterms:modified xsi:type="dcterms:W3CDTF">2024-03-11T14:53:00Z</dcterms:modified>
</cp:coreProperties>
</file>